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0251" w:rsidRPr="00130251" w:rsidRDefault="00130251" w:rsidP="00130251">
      <w:pPr>
        <w:spacing w:before="100" w:beforeAutospacing="1" w:after="100" w:afterAutospacing="1" w:line="240" w:lineRule="auto"/>
        <w:outlineLvl w:val="0"/>
        <w:rPr>
          <w:rFonts w:eastAsia="Times New Roman"/>
          <w:b/>
          <w:bCs/>
          <w:kern w:val="36"/>
          <w:sz w:val="48"/>
          <w:szCs w:val="48"/>
        </w:rPr>
      </w:pPr>
      <w:r w:rsidRPr="00130251">
        <w:rPr>
          <w:rFonts w:eastAsia="Times New Roman"/>
          <w:b/>
          <w:bCs/>
          <w:kern w:val="36"/>
          <w:sz w:val="48"/>
          <w:szCs w:val="48"/>
        </w:rPr>
        <w:t>Clinical Trials Advisor</w:t>
      </w:r>
    </w:p>
    <w:p w:rsidR="00130251" w:rsidRPr="00130251" w:rsidRDefault="00130251" w:rsidP="00130251">
      <w:pPr>
        <w:spacing w:after="0" w:line="240" w:lineRule="auto"/>
        <w:rPr>
          <w:rFonts w:eastAsia="Times New Roman"/>
        </w:rPr>
      </w:pPr>
      <w:r w:rsidRPr="00130251">
        <w:rPr>
          <w:rFonts w:eastAsia="Times New Roman"/>
          <w:b/>
          <w:bCs/>
        </w:rPr>
        <w:t>May 9, 2013</w:t>
      </w:r>
      <w:proofErr w:type="gramStart"/>
      <w:r w:rsidRPr="00130251">
        <w:rPr>
          <w:rFonts w:eastAsia="Times New Roman"/>
        </w:rPr>
        <w:t xml:space="preserve">  </w:t>
      </w:r>
      <w:r w:rsidRPr="00130251">
        <w:rPr>
          <w:rFonts w:eastAsia="Times New Roman"/>
          <w:b/>
          <w:bCs/>
        </w:rPr>
        <w:t>|</w:t>
      </w:r>
      <w:proofErr w:type="gramEnd"/>
      <w:r w:rsidRPr="00130251">
        <w:rPr>
          <w:rFonts w:eastAsia="Times New Roman"/>
          <w:b/>
          <w:bCs/>
        </w:rPr>
        <w:t> Vol. 18 No. 10</w:t>
      </w:r>
      <w:r w:rsidRPr="00130251">
        <w:rPr>
          <w:rFonts w:eastAsia="Times New Roman"/>
        </w:rPr>
        <w:t xml:space="preserve"> </w:t>
      </w:r>
    </w:p>
    <w:p w:rsidR="00130251" w:rsidRPr="00130251" w:rsidRDefault="00130251" w:rsidP="00130251">
      <w:pPr>
        <w:spacing w:after="0" w:line="240" w:lineRule="auto"/>
        <w:rPr>
          <w:rFonts w:eastAsia="Times New Roman"/>
        </w:rPr>
      </w:pPr>
      <w:r w:rsidRPr="00130251">
        <w:rPr>
          <w:rFonts w:eastAsia="Times New Roman"/>
        </w:rPr>
        <w:t> </w:t>
      </w:r>
    </w:p>
    <w:p w:rsidR="00130251" w:rsidRPr="00130251" w:rsidRDefault="00130251" w:rsidP="00130251">
      <w:pPr>
        <w:spacing w:after="0" w:line="240" w:lineRule="auto"/>
        <w:rPr>
          <w:rFonts w:eastAsia="Times New Roman"/>
        </w:rPr>
      </w:pPr>
    </w:p>
    <w:p w:rsidR="00130251" w:rsidRPr="00130251" w:rsidRDefault="00130251" w:rsidP="00130251">
      <w:pPr>
        <w:spacing w:after="0" w:line="240" w:lineRule="auto"/>
        <w:rPr>
          <w:rFonts w:eastAsia="Times New Roman"/>
          <w:b/>
        </w:rPr>
      </w:pPr>
      <w:bookmarkStart w:id="0" w:name="_GoBack"/>
      <w:r w:rsidRPr="00130251">
        <w:rPr>
          <w:rFonts w:eastAsia="Times New Roman"/>
          <w:b/>
        </w:rPr>
        <w:t>EMA’s Transparency Initiative Murkier Following Interim Court Order</w:t>
      </w:r>
    </w:p>
    <w:bookmarkEnd w:id="0"/>
    <w:p w:rsidR="00130251" w:rsidRPr="00130251" w:rsidRDefault="00130251" w:rsidP="00130251">
      <w:pPr>
        <w:spacing w:before="100" w:beforeAutospacing="1" w:after="100" w:afterAutospacing="1" w:line="240" w:lineRule="auto"/>
        <w:rPr>
          <w:rFonts w:eastAsia="Times New Roman"/>
        </w:rPr>
      </w:pPr>
      <w:r w:rsidRPr="00130251">
        <w:rPr>
          <w:rFonts w:eastAsia="Times New Roman"/>
        </w:rPr>
        <w:t xml:space="preserve">The General Court of the European Union has issued a temporary injunction barring the European Medicines Agency (EMA) from releasing information on clinical data. </w:t>
      </w:r>
    </w:p>
    <w:p w:rsidR="00130251" w:rsidRPr="00130251" w:rsidRDefault="00130251" w:rsidP="00130251">
      <w:pPr>
        <w:spacing w:before="100" w:beforeAutospacing="1" w:after="100" w:afterAutospacing="1" w:line="240" w:lineRule="auto"/>
        <w:rPr>
          <w:rFonts w:eastAsia="Times New Roman"/>
        </w:rPr>
      </w:pPr>
      <w:r w:rsidRPr="00130251">
        <w:rPr>
          <w:rFonts w:eastAsia="Times New Roman"/>
        </w:rPr>
        <w:t xml:space="preserve">Abbott Laboratories’ spinoff </w:t>
      </w:r>
      <w:proofErr w:type="spellStart"/>
      <w:r w:rsidRPr="00130251">
        <w:rPr>
          <w:rFonts w:eastAsia="Times New Roman"/>
        </w:rPr>
        <w:t>AbbVie</w:t>
      </w:r>
      <w:proofErr w:type="spellEnd"/>
      <w:r w:rsidRPr="00130251">
        <w:rPr>
          <w:rFonts w:eastAsia="Times New Roman"/>
        </w:rPr>
        <w:t xml:space="preserve"> filed two lawsuits against the agency in February challenging the EMA’s 2010 decision to make public clinical trial data on every drug product. The suits are aimed at protecting confidential and commercially sensitive information on the </w:t>
      </w:r>
      <w:proofErr w:type="spellStart"/>
      <w:r w:rsidRPr="00130251">
        <w:rPr>
          <w:rFonts w:eastAsia="Times New Roman"/>
        </w:rPr>
        <w:t>drugmaker’s</w:t>
      </w:r>
      <w:proofErr w:type="spellEnd"/>
      <w:r w:rsidRPr="00130251">
        <w:rPr>
          <w:rFonts w:eastAsia="Times New Roman"/>
        </w:rPr>
        <w:t xml:space="preserve"> rheumatoid arthritis treatment </w:t>
      </w:r>
      <w:proofErr w:type="spellStart"/>
      <w:r w:rsidRPr="00130251">
        <w:rPr>
          <w:rFonts w:eastAsia="Times New Roman"/>
        </w:rPr>
        <w:t>Humira</w:t>
      </w:r>
      <w:proofErr w:type="spellEnd"/>
      <w:r w:rsidRPr="00130251">
        <w:rPr>
          <w:rFonts w:eastAsia="Times New Roman"/>
        </w:rPr>
        <w:t xml:space="preserve"> (</w:t>
      </w:r>
      <w:proofErr w:type="spellStart"/>
      <w:r w:rsidRPr="00130251">
        <w:rPr>
          <w:rFonts w:eastAsia="Times New Roman"/>
        </w:rPr>
        <w:t>adalimumab</w:t>
      </w:r>
      <w:proofErr w:type="spellEnd"/>
      <w:r w:rsidRPr="00130251">
        <w:rPr>
          <w:rFonts w:eastAsia="Times New Roman"/>
        </w:rPr>
        <w:t xml:space="preserve">). </w:t>
      </w:r>
    </w:p>
    <w:p w:rsidR="00130251" w:rsidRPr="00130251" w:rsidRDefault="00130251" w:rsidP="00130251">
      <w:pPr>
        <w:spacing w:before="100" w:beforeAutospacing="1" w:after="100" w:afterAutospacing="1" w:line="240" w:lineRule="auto"/>
        <w:rPr>
          <w:rFonts w:eastAsia="Times New Roman"/>
        </w:rPr>
      </w:pPr>
      <w:proofErr w:type="spellStart"/>
      <w:r w:rsidRPr="00130251">
        <w:rPr>
          <w:rFonts w:eastAsia="Times New Roman"/>
        </w:rPr>
        <w:t>InterMune</w:t>
      </w:r>
      <w:proofErr w:type="spellEnd"/>
      <w:r w:rsidRPr="00130251">
        <w:rPr>
          <w:rFonts w:eastAsia="Times New Roman"/>
        </w:rPr>
        <w:t xml:space="preserve"> also filed suit, challenging the EMA’s access-to-documents policy. </w:t>
      </w:r>
    </w:p>
    <w:p w:rsidR="00130251" w:rsidRPr="00130251" w:rsidRDefault="00130251" w:rsidP="00130251">
      <w:pPr>
        <w:spacing w:before="100" w:beforeAutospacing="1" w:after="100" w:afterAutospacing="1" w:line="240" w:lineRule="auto"/>
        <w:rPr>
          <w:rFonts w:eastAsia="Times New Roman"/>
        </w:rPr>
      </w:pPr>
      <w:r w:rsidRPr="00130251">
        <w:rPr>
          <w:rFonts w:eastAsia="Times New Roman"/>
        </w:rPr>
        <w:t xml:space="preserve">Pending a final judgment, the EMA will continue to grant access to documents, the agency said April 30. Requests for documents similar to those that the two U.S.-based biotech companies seek to keep under wraps will be considered on a case-by-case basis, the agency added. </w:t>
      </w:r>
    </w:p>
    <w:p w:rsidR="00130251" w:rsidRPr="00130251" w:rsidRDefault="00130251" w:rsidP="00130251">
      <w:pPr>
        <w:spacing w:before="100" w:beforeAutospacing="1" w:after="100" w:afterAutospacing="1" w:line="240" w:lineRule="auto"/>
        <w:rPr>
          <w:rFonts w:eastAsia="Times New Roman"/>
        </w:rPr>
      </w:pPr>
      <w:r w:rsidRPr="00130251">
        <w:rPr>
          <w:rFonts w:eastAsia="Times New Roman"/>
        </w:rPr>
        <w:t xml:space="preserve">Since November 2010, the EMA has released more than 1.9 million pages of data in response to requests. This is the first time the policy has been legally challenged, the regulator said. </w:t>
      </w:r>
    </w:p>
    <w:p w:rsidR="00130251" w:rsidRPr="00130251" w:rsidRDefault="00130251" w:rsidP="00130251">
      <w:pPr>
        <w:spacing w:before="100" w:beforeAutospacing="1" w:after="100" w:afterAutospacing="1" w:line="240" w:lineRule="auto"/>
        <w:rPr>
          <w:rFonts w:eastAsia="Times New Roman"/>
        </w:rPr>
      </w:pPr>
      <w:r w:rsidRPr="00130251">
        <w:rPr>
          <w:rFonts w:eastAsia="Times New Roman"/>
        </w:rPr>
        <w:t xml:space="preserve">Industry reaction to the court order was mixed. U.S. industry group </w:t>
      </w:r>
      <w:proofErr w:type="spellStart"/>
      <w:r w:rsidRPr="00130251">
        <w:rPr>
          <w:rFonts w:eastAsia="Times New Roman"/>
        </w:rPr>
        <w:t>PhRMA</w:t>
      </w:r>
      <w:proofErr w:type="spellEnd"/>
      <w:r w:rsidRPr="00130251">
        <w:rPr>
          <w:rFonts w:eastAsia="Times New Roman"/>
        </w:rPr>
        <w:t xml:space="preserve"> welcomed the move as providing a proper barrier to EMA policies that “fail to respect” patient privacy and biotech R&amp;D incentives. But the UK-based </w:t>
      </w:r>
      <w:proofErr w:type="spellStart"/>
      <w:r w:rsidRPr="00130251">
        <w:rPr>
          <w:rFonts w:eastAsia="Times New Roman"/>
        </w:rPr>
        <w:t>BioIndustry</w:t>
      </w:r>
      <w:proofErr w:type="spellEnd"/>
      <w:r w:rsidRPr="00130251">
        <w:rPr>
          <w:rFonts w:eastAsia="Times New Roman"/>
        </w:rPr>
        <w:t xml:space="preserve"> Association was less barbed in its response, saying it hoped the order would not stall ongoing efforts to make EU regulation of clinical trials more transparent. </w:t>
      </w:r>
    </w:p>
    <w:p w:rsidR="00130251" w:rsidRPr="00130251" w:rsidRDefault="00130251" w:rsidP="00130251">
      <w:pPr>
        <w:spacing w:before="100" w:beforeAutospacing="1" w:after="100" w:afterAutospacing="1" w:line="240" w:lineRule="auto"/>
        <w:rPr>
          <w:rFonts w:eastAsia="Times New Roman"/>
        </w:rPr>
      </w:pPr>
      <w:r w:rsidRPr="00130251">
        <w:rPr>
          <w:rFonts w:eastAsia="Times New Roman"/>
        </w:rPr>
        <w:t>The EMA expects to compile its proposed trial data transparency policies into a single document by June 30 and will release it for public comment through Sept. 30 (</w:t>
      </w:r>
      <w:hyperlink r:id="rId5" w:history="1">
        <w:r w:rsidRPr="00130251">
          <w:rPr>
            <w:rFonts w:eastAsia="Times New Roman"/>
            <w:i/>
            <w:iCs/>
            <w:color w:val="0000FF"/>
          </w:rPr>
          <w:t>CTA</w:t>
        </w:r>
        <w:r w:rsidRPr="00130251">
          <w:rPr>
            <w:rFonts w:eastAsia="Times New Roman"/>
            <w:color w:val="0000FF"/>
          </w:rPr>
          <w:t>, Jan 3</w:t>
        </w:r>
      </w:hyperlink>
      <w:r w:rsidRPr="00130251">
        <w:rPr>
          <w:rFonts w:eastAsia="Times New Roman"/>
        </w:rPr>
        <w:t xml:space="preserve">). </w:t>
      </w:r>
    </w:p>
    <w:p w:rsidR="00130251" w:rsidRPr="00130251" w:rsidRDefault="00130251" w:rsidP="00130251">
      <w:pPr>
        <w:spacing w:before="100" w:beforeAutospacing="1" w:after="100" w:afterAutospacing="1" w:line="240" w:lineRule="auto"/>
        <w:jc w:val="center"/>
        <w:rPr>
          <w:rFonts w:eastAsia="Times New Roman"/>
        </w:rPr>
      </w:pPr>
      <w:r w:rsidRPr="00130251">
        <w:rPr>
          <w:rFonts w:eastAsia="Times New Roman"/>
          <w:b/>
          <w:bCs/>
        </w:rPr>
        <w:t>Policy Pushing Forward</w:t>
      </w:r>
      <w:r w:rsidRPr="00130251">
        <w:rPr>
          <w:rFonts w:eastAsia="Times New Roman"/>
        </w:rPr>
        <w:t xml:space="preserve"> </w:t>
      </w:r>
    </w:p>
    <w:p w:rsidR="00130251" w:rsidRPr="00130251" w:rsidRDefault="00130251" w:rsidP="00130251">
      <w:pPr>
        <w:spacing w:before="100" w:beforeAutospacing="1" w:after="100" w:afterAutospacing="1" w:line="240" w:lineRule="auto"/>
        <w:rPr>
          <w:rFonts w:eastAsia="Times New Roman"/>
        </w:rPr>
      </w:pPr>
      <w:r w:rsidRPr="00130251">
        <w:rPr>
          <w:rFonts w:eastAsia="Times New Roman"/>
        </w:rPr>
        <w:t xml:space="preserve">Also on April 30, the EMA released final comments from advisory groups helping to draft the transparency policy. The agency held a workshop last November to gather stakeholder feedback on the topic. </w:t>
      </w:r>
    </w:p>
    <w:p w:rsidR="00130251" w:rsidRPr="00130251" w:rsidRDefault="00130251" w:rsidP="00130251">
      <w:pPr>
        <w:spacing w:before="100" w:beforeAutospacing="1" w:after="100" w:afterAutospacing="1" w:line="240" w:lineRule="auto"/>
        <w:rPr>
          <w:rFonts w:eastAsia="Times New Roman"/>
        </w:rPr>
      </w:pPr>
      <w:r w:rsidRPr="00130251">
        <w:rPr>
          <w:rFonts w:eastAsia="Times New Roman"/>
        </w:rPr>
        <w:t xml:space="preserve">The final policy will “ensure transparency in the best interest of public health without impinging on the company’s intellectual property rights,” the EMA said. </w:t>
      </w:r>
    </w:p>
    <w:p w:rsidR="00F84C69" w:rsidRPr="00130251" w:rsidRDefault="00130251" w:rsidP="00130251">
      <w:pPr>
        <w:spacing w:before="100" w:beforeAutospacing="1" w:after="100" w:afterAutospacing="1" w:line="240" w:lineRule="auto"/>
      </w:pPr>
      <w:r w:rsidRPr="00130251">
        <w:rPr>
          <w:rFonts w:eastAsia="Times New Roman"/>
        </w:rPr>
        <w:t xml:space="preserve">View the EU court’s order at </w:t>
      </w:r>
      <w:hyperlink r:id="rId6" w:history="1">
        <w:r w:rsidRPr="00130251">
          <w:rPr>
            <w:rFonts w:eastAsia="Times New Roman"/>
            <w:color w:val="0000FF"/>
          </w:rPr>
          <w:t>www.fdanews.com/ext/files/05-01-13-CourtOrder.pdf</w:t>
        </w:r>
      </w:hyperlink>
      <w:r w:rsidRPr="00130251">
        <w:rPr>
          <w:rFonts w:eastAsia="Times New Roman"/>
        </w:rPr>
        <w:t xml:space="preserve">. The advisory group documents can be viewed at </w:t>
      </w:r>
      <w:hyperlink r:id="rId7" w:history="1">
        <w:r w:rsidRPr="00130251">
          <w:rPr>
            <w:rFonts w:eastAsia="Times New Roman"/>
            <w:color w:val="0000FF"/>
          </w:rPr>
          <w:t>www.fdanews.com/ext/files/05-01-13-EUAdvisory.pdf</w:t>
        </w:r>
      </w:hyperlink>
      <w:r w:rsidRPr="00130251">
        <w:rPr>
          <w:rFonts w:eastAsia="Times New Roman"/>
        </w:rPr>
        <w:t xml:space="preserve">. — Nick Otto </w:t>
      </w:r>
    </w:p>
    <w:sectPr w:rsidR="00F84C69" w:rsidRPr="001302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0251"/>
    <w:rsid w:val="000E6397"/>
    <w:rsid w:val="00130251"/>
    <w:rsid w:val="00751ADD"/>
    <w:rsid w:val="00B01367"/>
    <w:rsid w:val="00EB33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6397"/>
  </w:style>
  <w:style w:type="paragraph" w:styleId="Heading1">
    <w:name w:val="heading 1"/>
    <w:basedOn w:val="Normal"/>
    <w:link w:val="Heading1Char"/>
    <w:uiPriority w:val="9"/>
    <w:qFormat/>
    <w:rsid w:val="00130251"/>
    <w:pPr>
      <w:spacing w:before="100" w:beforeAutospacing="1" w:after="100" w:afterAutospacing="1" w:line="240" w:lineRule="auto"/>
      <w:outlineLvl w:val="0"/>
    </w:pPr>
    <w:rPr>
      <w:rFonts w:eastAsia="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0251"/>
    <w:rPr>
      <w:rFonts w:eastAsia="Times New Roman"/>
      <w:b/>
      <w:bCs/>
      <w:kern w:val="36"/>
      <w:sz w:val="48"/>
      <w:szCs w:val="48"/>
    </w:rPr>
  </w:style>
  <w:style w:type="character" w:styleId="Strong">
    <w:name w:val="Strong"/>
    <w:basedOn w:val="DefaultParagraphFont"/>
    <w:uiPriority w:val="22"/>
    <w:qFormat/>
    <w:rsid w:val="00130251"/>
    <w:rPr>
      <w:b/>
      <w:bCs/>
    </w:rPr>
  </w:style>
  <w:style w:type="paragraph" w:styleId="NormalWeb">
    <w:name w:val="Normal (Web)"/>
    <w:basedOn w:val="Normal"/>
    <w:uiPriority w:val="99"/>
    <w:semiHidden/>
    <w:unhideWhenUsed/>
    <w:rsid w:val="00130251"/>
    <w:pPr>
      <w:spacing w:before="100" w:beforeAutospacing="1" w:after="100" w:afterAutospacing="1" w:line="240" w:lineRule="auto"/>
    </w:pPr>
    <w:rPr>
      <w:rFonts w:eastAsia="Times New Roman"/>
    </w:rPr>
  </w:style>
  <w:style w:type="character" w:styleId="Hyperlink">
    <w:name w:val="Hyperlink"/>
    <w:basedOn w:val="DefaultParagraphFont"/>
    <w:uiPriority w:val="99"/>
    <w:semiHidden/>
    <w:unhideWhenUsed/>
    <w:rsid w:val="0013025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6397"/>
  </w:style>
  <w:style w:type="paragraph" w:styleId="Heading1">
    <w:name w:val="heading 1"/>
    <w:basedOn w:val="Normal"/>
    <w:link w:val="Heading1Char"/>
    <w:uiPriority w:val="9"/>
    <w:qFormat/>
    <w:rsid w:val="00130251"/>
    <w:pPr>
      <w:spacing w:before="100" w:beforeAutospacing="1" w:after="100" w:afterAutospacing="1" w:line="240" w:lineRule="auto"/>
      <w:outlineLvl w:val="0"/>
    </w:pPr>
    <w:rPr>
      <w:rFonts w:eastAsia="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0251"/>
    <w:rPr>
      <w:rFonts w:eastAsia="Times New Roman"/>
      <w:b/>
      <w:bCs/>
      <w:kern w:val="36"/>
      <w:sz w:val="48"/>
      <w:szCs w:val="48"/>
    </w:rPr>
  </w:style>
  <w:style w:type="character" w:styleId="Strong">
    <w:name w:val="Strong"/>
    <w:basedOn w:val="DefaultParagraphFont"/>
    <w:uiPriority w:val="22"/>
    <w:qFormat/>
    <w:rsid w:val="00130251"/>
    <w:rPr>
      <w:b/>
      <w:bCs/>
    </w:rPr>
  </w:style>
  <w:style w:type="paragraph" w:styleId="NormalWeb">
    <w:name w:val="Normal (Web)"/>
    <w:basedOn w:val="Normal"/>
    <w:uiPriority w:val="99"/>
    <w:semiHidden/>
    <w:unhideWhenUsed/>
    <w:rsid w:val="00130251"/>
    <w:pPr>
      <w:spacing w:before="100" w:beforeAutospacing="1" w:after="100" w:afterAutospacing="1" w:line="240" w:lineRule="auto"/>
    </w:pPr>
    <w:rPr>
      <w:rFonts w:eastAsia="Times New Roman"/>
    </w:rPr>
  </w:style>
  <w:style w:type="character" w:styleId="Hyperlink">
    <w:name w:val="Hyperlink"/>
    <w:basedOn w:val="DefaultParagraphFont"/>
    <w:uiPriority w:val="99"/>
    <w:semiHidden/>
    <w:unhideWhenUsed/>
    <w:rsid w:val="0013025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5153220">
      <w:bodyDiv w:val="1"/>
      <w:marLeft w:val="0"/>
      <w:marRight w:val="0"/>
      <w:marTop w:val="0"/>
      <w:marBottom w:val="0"/>
      <w:divBdr>
        <w:top w:val="none" w:sz="0" w:space="0" w:color="auto"/>
        <w:left w:val="none" w:sz="0" w:space="0" w:color="auto"/>
        <w:bottom w:val="none" w:sz="0" w:space="0" w:color="auto"/>
        <w:right w:val="none" w:sz="0" w:space="0" w:color="auto"/>
      </w:divBdr>
      <w:divsChild>
        <w:div w:id="924807002">
          <w:marLeft w:val="0"/>
          <w:marRight w:val="0"/>
          <w:marTop w:val="0"/>
          <w:marBottom w:val="0"/>
          <w:divBdr>
            <w:top w:val="none" w:sz="0" w:space="0" w:color="auto"/>
            <w:left w:val="none" w:sz="0" w:space="0" w:color="auto"/>
            <w:bottom w:val="none" w:sz="0" w:space="0" w:color="auto"/>
            <w:right w:val="none" w:sz="0" w:space="0" w:color="auto"/>
          </w:divBdr>
          <w:divsChild>
            <w:div w:id="749690881">
              <w:marLeft w:val="0"/>
              <w:marRight w:val="0"/>
              <w:marTop w:val="0"/>
              <w:marBottom w:val="0"/>
              <w:divBdr>
                <w:top w:val="none" w:sz="0" w:space="0" w:color="auto"/>
                <w:left w:val="none" w:sz="0" w:space="0" w:color="auto"/>
                <w:bottom w:val="none" w:sz="0" w:space="0" w:color="auto"/>
                <w:right w:val="none" w:sz="0" w:space="0" w:color="auto"/>
              </w:divBdr>
            </w:div>
            <w:div w:id="667442547">
              <w:marLeft w:val="0"/>
              <w:marRight w:val="0"/>
              <w:marTop w:val="0"/>
              <w:marBottom w:val="0"/>
              <w:divBdr>
                <w:top w:val="none" w:sz="0" w:space="0" w:color="auto"/>
                <w:left w:val="none" w:sz="0" w:space="0" w:color="auto"/>
                <w:bottom w:val="none" w:sz="0" w:space="0" w:color="auto"/>
                <w:right w:val="none" w:sz="0" w:space="0" w:color="auto"/>
              </w:divBdr>
            </w:div>
          </w:divsChild>
        </w:div>
        <w:div w:id="69087223">
          <w:marLeft w:val="0"/>
          <w:marRight w:val="0"/>
          <w:marTop w:val="0"/>
          <w:marBottom w:val="0"/>
          <w:divBdr>
            <w:top w:val="none" w:sz="0" w:space="0" w:color="auto"/>
            <w:left w:val="none" w:sz="0" w:space="0" w:color="auto"/>
            <w:bottom w:val="none" w:sz="0" w:space="0" w:color="auto"/>
            <w:right w:val="none" w:sz="0" w:space="0" w:color="auto"/>
          </w:divBdr>
        </w:div>
        <w:div w:id="8308259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fdanews.com/ext/files/05-01-13-EUAdvisory.pdf"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fdanews.com/ext/files/05-01-13-CourtOrder.pdf" TargetMode="External"/><Relationship Id="rId5" Type="http://schemas.openxmlformats.org/officeDocument/2006/relationships/hyperlink" Target="http://www.fdanews.com/newsletter/article?issueId=16429&amp;articleId=151555"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381</Words>
  <Characters>2172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Nicholas Otto</dc:creator>
  <cp:lastModifiedBy>Nicholas Otto</cp:lastModifiedBy>
  <cp:revision>1</cp:revision>
  <dcterms:created xsi:type="dcterms:W3CDTF">2013-05-10T20:19:00Z</dcterms:created>
  <dcterms:modified xsi:type="dcterms:W3CDTF">2013-05-10T20:20:00Z</dcterms:modified>
</cp:coreProperties>
</file>